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F83826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  <w:r w:rsidR="00820776">
        <w:rPr>
          <w:rFonts w:ascii="Times New Roman" w:hAnsi="Times New Roman" w:cs="Times New Roman"/>
          <w:sz w:val="28"/>
          <w:szCs w:val="28"/>
        </w:rPr>
        <w:t>«</w:t>
      </w:r>
      <w:r w:rsidR="00820776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сооружений»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</w:t>
      </w:r>
      <w:r w:rsidR="00623176">
        <w:rPr>
          <w:rFonts w:ascii="Times New Roman" w:hAnsi="Times New Roman" w:cs="Times New Roman"/>
          <w:sz w:val="28"/>
          <w:szCs w:val="28"/>
        </w:rPr>
        <w:t>5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</w:t>
      </w:r>
      <w:r w:rsidRPr="00DA03C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A03CE" w:rsidRPr="00DA03CE">
        <w:rPr>
          <w:rFonts w:ascii="Times New Roman" w:hAnsi="Times New Roman" w:cs="Times New Roman"/>
          <w:sz w:val="24"/>
          <w:szCs w:val="24"/>
        </w:rPr>
        <w:t>«</w:t>
      </w:r>
      <w:r w:rsidR="00820776" w:rsidRPr="00820776">
        <w:rPr>
          <w:rFonts w:ascii="Times New Roman" w:hAnsi="Times New Roman" w:cs="Times New Roman"/>
          <w:bCs/>
          <w:sz w:val="24"/>
          <w:szCs w:val="24"/>
        </w:rPr>
        <w:t>Строительство и эксплуатация зданий и сооружений</w:t>
      </w:r>
      <w:r w:rsidR="00DA03CE" w:rsidRPr="00820776">
        <w:rPr>
          <w:rFonts w:ascii="Times New Roman" w:hAnsi="Times New Roman" w:cs="Times New Roman"/>
          <w:sz w:val="24"/>
          <w:szCs w:val="24"/>
        </w:rPr>
        <w:t>»</w:t>
      </w:r>
      <w:r w:rsidRPr="00820776">
        <w:rPr>
          <w:rFonts w:ascii="Times New Roman" w:hAnsi="Times New Roman" w:cs="Times New Roman"/>
          <w:sz w:val="24"/>
          <w:szCs w:val="24"/>
        </w:rPr>
        <w:t>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623176">
              <w:rPr>
                <w:rFonts w:ascii="Times New Roman" w:hAnsi="Times New Roman" w:cs="Times New Roman"/>
                <w:sz w:val="24"/>
                <w:szCs w:val="24"/>
              </w:rPr>
              <w:t>Е.Н. Крылова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62317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23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31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6231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</w:t>
            </w:r>
            <w:r w:rsidR="00737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623176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мая 2015 </w:t>
            </w: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DA03CE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</w:t>
      </w:r>
      <w:r w:rsidR="00DA03CE" w:rsidRPr="00E27975">
        <w:rPr>
          <w:rFonts w:ascii="Times New Roman" w:hAnsi="Times New Roman" w:cs="Times New Roman"/>
          <w:sz w:val="28"/>
          <w:szCs w:val="28"/>
        </w:rPr>
        <w:t>«</w:t>
      </w:r>
      <w:r w:rsidR="00820776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 w:rsidR="00DA03CE" w:rsidRPr="00E27975">
        <w:rPr>
          <w:rFonts w:ascii="Times New Roman" w:hAnsi="Times New Roman" w:cs="Times New Roman"/>
          <w:sz w:val="28"/>
          <w:szCs w:val="28"/>
        </w:rPr>
        <w:t>»</w:t>
      </w:r>
      <w:r w:rsidR="00D270ED" w:rsidRPr="00F95AAB">
        <w:rPr>
          <w:rFonts w:ascii="Times New Roman" w:hAnsi="Times New Roman" w:cs="Times New Roman"/>
          <w:sz w:val="28"/>
          <w:szCs w:val="28"/>
        </w:rPr>
        <w:t>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</w:t>
      </w:r>
      <w:r w:rsidR="00623176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о</w:t>
      </w:r>
      <w:r w:rsidR="00623176">
        <w:rPr>
          <w:rFonts w:ascii="Times New Roman" w:hAnsi="Times New Roman" w:cs="Times New Roman"/>
          <w:sz w:val="28"/>
          <w:szCs w:val="28"/>
        </w:rPr>
        <w:t xml:space="preserve"> 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</w:t>
      </w:r>
      <w:r w:rsidR="00623176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New</w:t>
      </w:r>
      <w:r w:rsidR="00623176">
        <w:rPr>
          <w:sz w:val="28"/>
          <w:szCs w:val="28"/>
        </w:rPr>
        <w:t xml:space="preserve"> </w:t>
      </w:r>
      <w:r w:rsidRPr="00F95AAB">
        <w:rPr>
          <w:sz w:val="28"/>
          <w:szCs w:val="28"/>
        </w:rPr>
        <w:t>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="00623176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</w:t>
      </w:r>
      <w:r w:rsidR="0062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</w:t>
      </w:r>
      <w:bookmarkStart w:id="0" w:name="_GoBack"/>
      <w:bookmarkEnd w:id="0"/>
      <w:r w:rsidRPr="00F95AAB">
        <w:rPr>
          <w:rFonts w:ascii="Times New Roman" w:hAnsi="Times New Roman" w:cs="Times New Roman"/>
          <w:sz w:val="28"/>
          <w:szCs w:val="28"/>
        </w:rPr>
        <w:t>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26" w:rsidRDefault="00F83826" w:rsidP="00D0185D">
      <w:pPr>
        <w:spacing w:after="0" w:line="240" w:lineRule="auto"/>
      </w:pPr>
      <w:r>
        <w:separator/>
      </w:r>
    </w:p>
  </w:endnote>
  <w:endnote w:type="continuationSeparator" w:id="0">
    <w:p w:rsidR="00F83826" w:rsidRDefault="00F83826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52" w:rsidRDefault="009D443A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52" w:rsidRDefault="009D443A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176">
      <w:rPr>
        <w:rStyle w:val="a7"/>
        <w:noProof/>
      </w:rPr>
      <w:t>6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26" w:rsidRDefault="00F83826" w:rsidP="00D0185D">
      <w:pPr>
        <w:spacing w:after="0" w:line="240" w:lineRule="auto"/>
      </w:pPr>
      <w:r>
        <w:separator/>
      </w:r>
    </w:p>
  </w:footnote>
  <w:footnote w:type="continuationSeparator" w:id="0">
    <w:p w:rsidR="00F83826" w:rsidRDefault="00F83826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D" w:rsidRDefault="009D443A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D" w:rsidRDefault="009D443A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176">
      <w:rPr>
        <w:rStyle w:val="a7"/>
        <w:noProof/>
      </w:rPr>
      <w:t>6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1E5A32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417E8"/>
    <w:rsid w:val="00346456"/>
    <w:rsid w:val="00356004"/>
    <w:rsid w:val="003661C7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464B8"/>
    <w:rsid w:val="00482BA4"/>
    <w:rsid w:val="004C5428"/>
    <w:rsid w:val="004E5BE7"/>
    <w:rsid w:val="00523A34"/>
    <w:rsid w:val="0052741F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23176"/>
    <w:rsid w:val="00647769"/>
    <w:rsid w:val="006654D5"/>
    <w:rsid w:val="00686BCF"/>
    <w:rsid w:val="00696092"/>
    <w:rsid w:val="006A3036"/>
    <w:rsid w:val="006A47E0"/>
    <w:rsid w:val="006A54D4"/>
    <w:rsid w:val="006C1233"/>
    <w:rsid w:val="006C2D8A"/>
    <w:rsid w:val="006C7E16"/>
    <w:rsid w:val="006E7E4C"/>
    <w:rsid w:val="006F1779"/>
    <w:rsid w:val="00705699"/>
    <w:rsid w:val="007321A2"/>
    <w:rsid w:val="007352A5"/>
    <w:rsid w:val="00737D6B"/>
    <w:rsid w:val="00785563"/>
    <w:rsid w:val="00790D84"/>
    <w:rsid w:val="007936CC"/>
    <w:rsid w:val="007A7736"/>
    <w:rsid w:val="007B021C"/>
    <w:rsid w:val="007F2522"/>
    <w:rsid w:val="007F2EC5"/>
    <w:rsid w:val="007F5B8C"/>
    <w:rsid w:val="00815FC0"/>
    <w:rsid w:val="00820776"/>
    <w:rsid w:val="00857818"/>
    <w:rsid w:val="00871315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5FCE"/>
    <w:rsid w:val="009752A8"/>
    <w:rsid w:val="00980457"/>
    <w:rsid w:val="0099039F"/>
    <w:rsid w:val="00990D8D"/>
    <w:rsid w:val="00994936"/>
    <w:rsid w:val="00995C6C"/>
    <w:rsid w:val="009C1E22"/>
    <w:rsid w:val="009C6B87"/>
    <w:rsid w:val="009D18D3"/>
    <w:rsid w:val="009D1985"/>
    <w:rsid w:val="009D443A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2EBE"/>
    <w:rsid w:val="00D77EE4"/>
    <w:rsid w:val="00D84D28"/>
    <w:rsid w:val="00D874FA"/>
    <w:rsid w:val="00D94E04"/>
    <w:rsid w:val="00D969B0"/>
    <w:rsid w:val="00DA03CE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3826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  <w:style w:type="paragraph" w:styleId="ac">
    <w:name w:val="Balloon Text"/>
    <w:basedOn w:val="a"/>
    <w:link w:val="ad"/>
    <w:uiPriority w:val="99"/>
    <w:semiHidden/>
    <w:unhideWhenUsed/>
    <w:rsid w:val="0062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2D9E-4FB3-486E-9FA7-A2DAD938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Владимир</cp:lastModifiedBy>
  <cp:revision>15</cp:revision>
  <cp:lastPrinted>2017-03-29T07:12:00Z</cp:lastPrinted>
  <dcterms:created xsi:type="dcterms:W3CDTF">2014-03-10T09:32:00Z</dcterms:created>
  <dcterms:modified xsi:type="dcterms:W3CDTF">2017-03-29T07:13:00Z</dcterms:modified>
</cp:coreProperties>
</file>